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1258" w14:textId="33845E1C" w:rsidR="001670DE" w:rsidRDefault="00F42EF3">
      <w:pPr>
        <w:spacing w:after="0"/>
        <w:rPr>
          <w:rFonts w:ascii="Arial" w:hAnsi="Arial" w:cs="Arial"/>
          <w:b/>
          <w:sz w:val="24"/>
        </w:rPr>
      </w:pPr>
      <w:bookmarkStart w:id="0" w:name="_GoBack"/>
      <w:bookmarkEnd w:id="0"/>
      <w:r>
        <w:rPr>
          <w:rFonts w:ascii="Arial" w:hAnsi="Arial" w:cs="Arial"/>
          <w:b/>
          <w:noProof/>
          <w:sz w:val="24"/>
        </w:rPr>
        <w:drawing>
          <wp:inline distT="0" distB="0" distL="0" distR="0" wp14:anchorId="781B1B74" wp14:editId="4CB087F8">
            <wp:extent cx="6645910" cy="8216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Milsatcoms-online-728-x-90.jpg"/>
                    <pic:cNvPicPr/>
                  </pic:nvPicPr>
                  <pic:blipFill>
                    <a:blip r:embed="rId6">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p w14:paraId="584E87ED" w14:textId="77777777" w:rsidR="00F42EF3" w:rsidRDefault="00F42EF3">
      <w:pPr>
        <w:spacing w:after="0"/>
        <w:rPr>
          <w:rFonts w:ascii="Arial" w:hAnsi="Arial" w:cs="Arial"/>
          <w:b/>
          <w:sz w:val="24"/>
        </w:rPr>
      </w:pPr>
    </w:p>
    <w:p w14:paraId="462A5626" w14:textId="77777777" w:rsidR="001670DE" w:rsidRDefault="00B271CE">
      <w:pPr>
        <w:rPr>
          <w:rFonts w:ascii="Arial" w:hAnsi="Arial" w:cs="Arial"/>
          <w:b/>
          <w:bCs/>
          <w:sz w:val="24"/>
        </w:rPr>
      </w:pPr>
      <w:r>
        <w:rPr>
          <w:rFonts w:ascii="Arial" w:hAnsi="Arial" w:cs="Arial"/>
          <w:b/>
          <w:bCs/>
          <w:sz w:val="24"/>
        </w:rPr>
        <w:t xml:space="preserve">IET </w:t>
      </w:r>
      <w:proofErr w:type="spellStart"/>
      <w:r>
        <w:rPr>
          <w:rFonts w:ascii="Arial" w:hAnsi="Arial" w:cs="Arial"/>
          <w:b/>
          <w:bCs/>
          <w:sz w:val="24"/>
        </w:rPr>
        <w:t>Milsatcoms</w:t>
      </w:r>
      <w:proofErr w:type="spellEnd"/>
      <w:r>
        <w:rPr>
          <w:rFonts w:ascii="Arial" w:hAnsi="Arial" w:cs="Arial"/>
          <w:b/>
          <w:bCs/>
          <w:sz w:val="24"/>
        </w:rPr>
        <w:t xml:space="preserve"> – 2019 Statistics</w:t>
      </w:r>
    </w:p>
    <w:p w14:paraId="6137C66C" w14:textId="2DE7436B" w:rsidR="001670DE" w:rsidRDefault="00B271CE">
      <w:pPr>
        <w:jc w:val="both"/>
        <w:rPr>
          <w:rFonts w:ascii="Arial" w:hAnsi="Arial" w:cs="Arial"/>
          <w:sz w:val="24"/>
        </w:rPr>
      </w:pPr>
      <w:r>
        <w:rPr>
          <w:rFonts w:ascii="Arial" w:hAnsi="Arial" w:cs="Arial"/>
          <w:sz w:val="24"/>
        </w:rPr>
        <w:t xml:space="preserve">The </w:t>
      </w:r>
      <w:proofErr w:type="spellStart"/>
      <w:r>
        <w:rPr>
          <w:rFonts w:ascii="Arial" w:hAnsi="Arial" w:cs="Arial"/>
          <w:sz w:val="24"/>
        </w:rPr>
        <w:t>Milsatcoms</w:t>
      </w:r>
      <w:proofErr w:type="spellEnd"/>
      <w:r>
        <w:rPr>
          <w:rFonts w:ascii="Arial" w:hAnsi="Arial" w:cs="Arial"/>
          <w:sz w:val="24"/>
        </w:rPr>
        <w:t xml:space="preserve"> 2019 conference took place in London from 13 – 14 June 2019 and was attended by 106 delegates from military, government, armed forces, satellite operators and technology providers. The conference, known for its spirit of technical information and predictions included topic on the proposed new UK space strategy, the future of Skynet 6 and game-changing technologies</w:t>
      </w:r>
      <w:r w:rsidR="00F42EF3">
        <w:rPr>
          <w:rFonts w:ascii="Arial" w:hAnsi="Arial" w:cs="Arial"/>
          <w:sz w:val="24"/>
        </w:rPr>
        <w:t>.</w:t>
      </w:r>
    </w:p>
    <w:tbl>
      <w:tblPr>
        <w:tblStyle w:val="TableGrid"/>
        <w:tblW w:w="0" w:type="auto"/>
        <w:tblLook w:val="04A0" w:firstRow="1" w:lastRow="0" w:firstColumn="1" w:lastColumn="0" w:noHBand="0" w:noVBand="1"/>
      </w:tblPr>
      <w:tblGrid>
        <w:gridCol w:w="10456"/>
      </w:tblGrid>
      <w:tr w:rsidR="001670DE" w14:paraId="7FC7E71F" w14:textId="77777777">
        <w:tc>
          <w:tcPr>
            <w:tcW w:w="10456" w:type="dxa"/>
            <w:shd w:val="clear" w:color="auto" w:fill="5B9BD5" w:themeFill="accent5"/>
          </w:tcPr>
          <w:p w14:paraId="33C3F62D" w14:textId="77777777" w:rsidR="001670DE" w:rsidRDefault="00B271CE">
            <w:pPr>
              <w:jc w:val="center"/>
              <w:rPr>
                <w:rFonts w:ascii="Arial" w:hAnsi="Arial" w:cs="Arial"/>
                <w:b/>
                <w:sz w:val="24"/>
              </w:rPr>
            </w:pPr>
            <w:bookmarkStart w:id="1" w:name="_Hlk26276440"/>
            <w:r>
              <w:rPr>
                <w:rFonts w:ascii="Arial" w:hAnsi="Arial" w:cs="Arial"/>
                <w:b/>
                <w:sz w:val="24"/>
              </w:rPr>
              <w:t>Delegate Breakdown</w:t>
            </w:r>
          </w:p>
        </w:tc>
      </w:tr>
      <w:bookmarkEnd w:id="1"/>
    </w:tbl>
    <w:p w14:paraId="32FA9B1B" w14:textId="77777777" w:rsidR="001670DE" w:rsidRDefault="001670DE">
      <w:pPr>
        <w:spacing w:after="0"/>
        <w:jc w:val="both"/>
        <w:rPr>
          <w:rFonts w:ascii="Arial" w:hAnsi="Arial" w:cs="Arial"/>
          <w:sz w:val="24"/>
        </w:rPr>
      </w:pPr>
    </w:p>
    <w:p w14:paraId="531D249D" w14:textId="77777777" w:rsidR="001670DE" w:rsidRDefault="00B271CE">
      <w:pPr>
        <w:jc w:val="both"/>
        <w:rPr>
          <w:rFonts w:ascii="Arial" w:hAnsi="Arial" w:cs="Arial"/>
          <w:sz w:val="24"/>
        </w:rPr>
      </w:pPr>
      <w:r>
        <w:rPr>
          <w:noProof/>
        </w:rPr>
        <w:drawing>
          <wp:inline distT="0" distB="0" distL="0" distR="0" wp14:anchorId="2012424F" wp14:editId="6F893EFC">
            <wp:extent cx="3276600" cy="2543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7E13A952" wp14:editId="01F3886A">
            <wp:extent cx="3276600" cy="2552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tblLook w:val="04A0" w:firstRow="1" w:lastRow="0" w:firstColumn="1" w:lastColumn="0" w:noHBand="0" w:noVBand="1"/>
      </w:tblPr>
      <w:tblGrid>
        <w:gridCol w:w="10456"/>
      </w:tblGrid>
      <w:tr w:rsidR="001670DE" w14:paraId="7E9EEC9B" w14:textId="77777777">
        <w:tc>
          <w:tcPr>
            <w:tcW w:w="10456" w:type="dxa"/>
            <w:shd w:val="clear" w:color="auto" w:fill="5B9BD5" w:themeFill="accent5"/>
          </w:tcPr>
          <w:p w14:paraId="201271A8" w14:textId="77777777" w:rsidR="001670DE" w:rsidRDefault="00B271CE">
            <w:pPr>
              <w:jc w:val="center"/>
              <w:rPr>
                <w:rFonts w:ascii="Arial" w:hAnsi="Arial" w:cs="Arial"/>
                <w:b/>
                <w:sz w:val="24"/>
              </w:rPr>
            </w:pPr>
            <w:bookmarkStart w:id="2" w:name="_Hlk26283509"/>
            <w:r>
              <w:rPr>
                <w:rFonts w:ascii="Arial" w:hAnsi="Arial" w:cs="Arial"/>
                <w:b/>
                <w:sz w:val="24"/>
              </w:rPr>
              <w:t>Delegate Feedback</w:t>
            </w:r>
          </w:p>
        </w:tc>
      </w:tr>
      <w:bookmarkEnd w:id="2"/>
    </w:tbl>
    <w:p w14:paraId="31E7E774" w14:textId="77777777" w:rsidR="001670DE" w:rsidRDefault="001670DE">
      <w:pPr>
        <w:spacing w:after="0"/>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670DE" w14:paraId="78AC4543" w14:textId="77777777">
        <w:tc>
          <w:tcPr>
            <w:tcW w:w="5228" w:type="dxa"/>
          </w:tcPr>
          <w:p w14:paraId="28A70B68" w14:textId="77777777" w:rsidR="001670DE" w:rsidRDefault="00B271CE">
            <w:pPr>
              <w:pStyle w:val="ListParagraph"/>
              <w:numPr>
                <w:ilvl w:val="0"/>
                <w:numId w:val="2"/>
              </w:numPr>
              <w:jc w:val="both"/>
              <w:rPr>
                <w:rFonts w:ascii="Arial" w:hAnsi="Arial" w:cs="Arial"/>
                <w:sz w:val="24"/>
              </w:rPr>
            </w:pPr>
            <w:r>
              <w:rPr>
                <w:rFonts w:ascii="Arial" w:hAnsi="Arial" w:cs="Arial"/>
                <w:b/>
                <w:sz w:val="24"/>
              </w:rPr>
              <w:t>85 %</w:t>
            </w:r>
            <w:r>
              <w:rPr>
                <w:rFonts w:ascii="Arial" w:hAnsi="Arial" w:cs="Arial"/>
                <w:sz w:val="24"/>
              </w:rPr>
              <w:t xml:space="preserve"> of attendees rated the overall quality of the conference as good to excellent</w:t>
            </w:r>
          </w:p>
          <w:p w14:paraId="2B6D6C73" w14:textId="77777777" w:rsidR="001670DE" w:rsidRDefault="00B271CE">
            <w:pPr>
              <w:pStyle w:val="ListParagraph"/>
              <w:numPr>
                <w:ilvl w:val="0"/>
                <w:numId w:val="2"/>
              </w:numPr>
              <w:jc w:val="both"/>
              <w:rPr>
                <w:rFonts w:ascii="Arial" w:hAnsi="Arial" w:cs="Arial"/>
                <w:sz w:val="24"/>
              </w:rPr>
            </w:pPr>
            <w:r>
              <w:rPr>
                <w:rFonts w:ascii="Arial" w:hAnsi="Arial" w:cs="Arial"/>
                <w:b/>
                <w:sz w:val="24"/>
              </w:rPr>
              <w:t>80 %</w:t>
            </w:r>
            <w:r>
              <w:rPr>
                <w:rFonts w:ascii="Arial" w:hAnsi="Arial" w:cs="Arial"/>
                <w:sz w:val="24"/>
              </w:rPr>
              <w:t xml:space="preserve"> of attendees rated the technical content of the conference as good to excellent</w:t>
            </w:r>
          </w:p>
          <w:p w14:paraId="1FE63F30" w14:textId="77777777" w:rsidR="001670DE" w:rsidRDefault="00B271CE">
            <w:pPr>
              <w:pStyle w:val="ListParagraph"/>
              <w:numPr>
                <w:ilvl w:val="0"/>
                <w:numId w:val="2"/>
              </w:numPr>
              <w:jc w:val="both"/>
              <w:rPr>
                <w:rFonts w:ascii="Arial" w:hAnsi="Arial" w:cs="Arial"/>
                <w:sz w:val="24"/>
              </w:rPr>
            </w:pPr>
            <w:r>
              <w:rPr>
                <w:rFonts w:ascii="Arial" w:hAnsi="Arial" w:cs="Arial"/>
                <w:b/>
                <w:sz w:val="24"/>
              </w:rPr>
              <w:t>95 %</w:t>
            </w:r>
            <w:r>
              <w:rPr>
                <w:rFonts w:ascii="Arial" w:hAnsi="Arial" w:cs="Arial"/>
                <w:sz w:val="24"/>
              </w:rPr>
              <w:t xml:space="preserve"> of attendees rated the networking at the conference as good to excellent</w:t>
            </w:r>
          </w:p>
          <w:p w14:paraId="5F12CBE2" w14:textId="77777777" w:rsidR="001670DE" w:rsidRDefault="00B271CE">
            <w:pPr>
              <w:pStyle w:val="ListParagraph"/>
              <w:numPr>
                <w:ilvl w:val="0"/>
                <w:numId w:val="2"/>
              </w:numPr>
              <w:jc w:val="both"/>
              <w:rPr>
                <w:rFonts w:ascii="Arial" w:hAnsi="Arial" w:cs="Arial"/>
                <w:sz w:val="24"/>
              </w:rPr>
            </w:pPr>
            <w:r>
              <w:rPr>
                <w:rFonts w:ascii="Arial" w:hAnsi="Arial" w:cs="Arial"/>
                <w:b/>
                <w:sz w:val="24"/>
              </w:rPr>
              <w:t>90 %</w:t>
            </w:r>
            <w:r>
              <w:rPr>
                <w:rFonts w:ascii="Arial" w:hAnsi="Arial" w:cs="Arial"/>
                <w:sz w:val="24"/>
              </w:rPr>
              <w:t xml:space="preserve"> of attendees would recommend the conference to a colleague</w:t>
            </w:r>
          </w:p>
        </w:tc>
        <w:tc>
          <w:tcPr>
            <w:tcW w:w="5228" w:type="dxa"/>
          </w:tcPr>
          <w:p w14:paraId="6F2486D3" w14:textId="77777777" w:rsidR="001670DE" w:rsidRPr="00451480" w:rsidRDefault="00B271CE">
            <w:pPr>
              <w:jc w:val="both"/>
              <w:rPr>
                <w:rFonts w:ascii="Arial" w:hAnsi="Arial" w:cs="Arial"/>
                <w:i/>
                <w:iCs/>
                <w:sz w:val="24"/>
              </w:rPr>
            </w:pPr>
            <w:r w:rsidRPr="00451480">
              <w:rPr>
                <w:rFonts w:ascii="Arial" w:hAnsi="Arial" w:cs="Arial"/>
                <w:i/>
                <w:iCs/>
                <w:sz w:val="24"/>
              </w:rPr>
              <w:t>"I enjoyed the way all speakers entered into the spirit of technical information and predictions, rather than sales pitches."</w:t>
            </w:r>
          </w:p>
          <w:p w14:paraId="675531CE" w14:textId="77777777" w:rsidR="001670DE" w:rsidRDefault="001670DE">
            <w:pPr>
              <w:jc w:val="both"/>
              <w:rPr>
                <w:rFonts w:ascii="Arial" w:hAnsi="Arial" w:cs="Arial"/>
                <w:sz w:val="24"/>
              </w:rPr>
            </w:pPr>
          </w:p>
          <w:p w14:paraId="4A648E11" w14:textId="3F2F4499" w:rsidR="001670DE" w:rsidRPr="00451480" w:rsidRDefault="00B271CE">
            <w:pPr>
              <w:jc w:val="both"/>
              <w:rPr>
                <w:rFonts w:ascii="Arial" w:hAnsi="Arial" w:cs="Arial"/>
                <w:i/>
                <w:iCs/>
                <w:sz w:val="24"/>
              </w:rPr>
            </w:pPr>
            <w:r w:rsidRPr="00451480">
              <w:rPr>
                <w:rFonts w:ascii="Arial" w:hAnsi="Arial" w:cs="Arial"/>
                <w:i/>
                <w:iCs/>
                <w:sz w:val="24"/>
              </w:rPr>
              <w:t>"Informative presentations and variety of speaking topics."</w:t>
            </w:r>
          </w:p>
          <w:p w14:paraId="0EAB010A" w14:textId="77777777" w:rsidR="001670DE" w:rsidRDefault="001670DE">
            <w:pPr>
              <w:jc w:val="both"/>
              <w:rPr>
                <w:rFonts w:ascii="Arial" w:hAnsi="Arial" w:cs="Arial"/>
                <w:sz w:val="24"/>
              </w:rPr>
            </w:pPr>
          </w:p>
          <w:p w14:paraId="51538E76" w14:textId="78F82731" w:rsidR="001670DE" w:rsidRPr="00451480" w:rsidRDefault="00451480">
            <w:pPr>
              <w:jc w:val="both"/>
              <w:rPr>
                <w:rFonts w:ascii="Arial" w:hAnsi="Arial" w:cs="Arial"/>
                <w:i/>
                <w:iCs/>
                <w:sz w:val="24"/>
              </w:rPr>
            </w:pPr>
            <w:r w:rsidRPr="00451480">
              <w:rPr>
                <w:rFonts w:ascii="Arial" w:hAnsi="Arial" w:cs="Arial"/>
                <w:i/>
                <w:iCs/>
                <w:sz w:val="24"/>
              </w:rPr>
              <w:t>“</w:t>
            </w:r>
            <w:r w:rsidR="00B271CE" w:rsidRPr="00451480">
              <w:rPr>
                <w:rFonts w:ascii="Arial" w:hAnsi="Arial" w:cs="Arial"/>
                <w:i/>
                <w:iCs/>
                <w:sz w:val="24"/>
              </w:rPr>
              <w:t>Good networking and important insights to bring oneself up to date with fast-developing and maturing technologies.’’</w:t>
            </w:r>
          </w:p>
          <w:p w14:paraId="0D8D16B1" w14:textId="77777777" w:rsidR="001670DE" w:rsidRDefault="001670DE">
            <w:pPr>
              <w:jc w:val="both"/>
              <w:rPr>
                <w:rFonts w:ascii="Arial" w:hAnsi="Arial" w:cs="Arial"/>
                <w:sz w:val="24"/>
              </w:rPr>
            </w:pPr>
          </w:p>
        </w:tc>
      </w:tr>
    </w:tbl>
    <w:p w14:paraId="03EA07B1" w14:textId="77777777" w:rsidR="001670DE" w:rsidRDefault="001670DE">
      <w:pPr>
        <w:jc w:val="both"/>
        <w:rPr>
          <w:rFonts w:ascii="Arial" w:hAnsi="Arial" w:cs="Arial"/>
          <w:sz w:val="24"/>
        </w:rPr>
      </w:pPr>
    </w:p>
    <w:tbl>
      <w:tblPr>
        <w:tblStyle w:val="TableGrid"/>
        <w:tblW w:w="0" w:type="auto"/>
        <w:tblLook w:val="04A0" w:firstRow="1" w:lastRow="0" w:firstColumn="1" w:lastColumn="0" w:noHBand="0" w:noVBand="1"/>
      </w:tblPr>
      <w:tblGrid>
        <w:gridCol w:w="10456"/>
      </w:tblGrid>
      <w:tr w:rsidR="001670DE" w14:paraId="5BD0EEBA" w14:textId="77777777">
        <w:tc>
          <w:tcPr>
            <w:tcW w:w="10456" w:type="dxa"/>
            <w:shd w:val="clear" w:color="auto" w:fill="5B9BD5" w:themeFill="accent5"/>
          </w:tcPr>
          <w:p w14:paraId="4435B797" w14:textId="77777777" w:rsidR="001670DE" w:rsidRDefault="00B271CE">
            <w:pPr>
              <w:jc w:val="center"/>
              <w:rPr>
                <w:rFonts w:ascii="Arial" w:hAnsi="Arial" w:cs="Arial"/>
                <w:b/>
                <w:sz w:val="24"/>
              </w:rPr>
            </w:pPr>
            <w:r>
              <w:rPr>
                <w:rFonts w:ascii="Arial" w:hAnsi="Arial" w:cs="Arial"/>
                <w:b/>
                <w:sz w:val="24"/>
              </w:rPr>
              <w:t>Past Sponsors</w:t>
            </w:r>
          </w:p>
        </w:tc>
      </w:tr>
    </w:tbl>
    <w:p w14:paraId="79632B5C" w14:textId="299267B8" w:rsidR="001670DE" w:rsidRDefault="001670DE">
      <w:pPr>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036"/>
        <w:gridCol w:w="1746"/>
        <w:gridCol w:w="1926"/>
        <w:gridCol w:w="1346"/>
        <w:gridCol w:w="1986"/>
      </w:tblGrid>
      <w:tr w:rsidR="00B271CE" w14:paraId="114C7122" w14:textId="77777777" w:rsidTr="00B271CE">
        <w:tc>
          <w:tcPr>
            <w:tcW w:w="1742" w:type="dxa"/>
            <w:vAlign w:val="center"/>
          </w:tcPr>
          <w:p w14:paraId="0B92F663" w14:textId="6781F6D5" w:rsidR="00B271CE" w:rsidRDefault="00B271CE" w:rsidP="00B271CE">
            <w:pPr>
              <w:jc w:val="center"/>
              <w:rPr>
                <w:rFonts w:ascii="Arial" w:hAnsi="Arial" w:cs="Arial"/>
                <w:sz w:val="24"/>
              </w:rPr>
            </w:pPr>
            <w:r>
              <w:rPr>
                <w:rFonts w:ascii="Arial" w:hAnsi="Arial" w:cs="Arial"/>
                <w:noProof/>
                <w:sz w:val="24"/>
              </w:rPr>
              <w:drawing>
                <wp:inline distT="0" distB="0" distL="0" distR="0" wp14:anchorId="7FE74036" wp14:editId="3B63310B">
                  <wp:extent cx="748508" cy="40005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Sat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840" cy="403969"/>
                          </a:xfrm>
                          <a:prstGeom prst="rect">
                            <a:avLst/>
                          </a:prstGeom>
                        </pic:spPr>
                      </pic:pic>
                    </a:graphicData>
                  </a:graphic>
                </wp:inline>
              </w:drawing>
            </w:r>
          </w:p>
        </w:tc>
        <w:tc>
          <w:tcPr>
            <w:tcW w:w="1742" w:type="dxa"/>
            <w:vAlign w:val="center"/>
          </w:tcPr>
          <w:p w14:paraId="2002F7DA" w14:textId="0128A19E" w:rsidR="00B271CE" w:rsidRDefault="00B271CE" w:rsidP="00B271CE">
            <w:pPr>
              <w:jc w:val="center"/>
              <w:rPr>
                <w:rFonts w:ascii="Arial" w:hAnsi="Arial" w:cs="Arial"/>
                <w:sz w:val="24"/>
              </w:rPr>
            </w:pPr>
            <w:r>
              <w:rPr>
                <w:rFonts w:ascii="Arial" w:hAnsi="Arial" w:cs="Arial"/>
                <w:noProof/>
                <w:sz w:val="24"/>
              </w:rPr>
              <w:drawing>
                <wp:inline distT="0" distB="0" distL="0" distR="0" wp14:anchorId="0ECCD6C2" wp14:editId="6CAB3508">
                  <wp:extent cx="1155700" cy="428004"/>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RBUS_RGB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6954" cy="435875"/>
                          </a:xfrm>
                          <a:prstGeom prst="rect">
                            <a:avLst/>
                          </a:prstGeom>
                        </pic:spPr>
                      </pic:pic>
                    </a:graphicData>
                  </a:graphic>
                </wp:inline>
              </w:drawing>
            </w:r>
          </w:p>
        </w:tc>
        <w:tc>
          <w:tcPr>
            <w:tcW w:w="1743" w:type="dxa"/>
            <w:vAlign w:val="center"/>
          </w:tcPr>
          <w:p w14:paraId="2CEB2F67" w14:textId="49F25A9D" w:rsidR="00B271CE" w:rsidRDefault="00B271CE" w:rsidP="00B271CE">
            <w:pPr>
              <w:jc w:val="center"/>
              <w:rPr>
                <w:rFonts w:ascii="Arial" w:hAnsi="Arial" w:cs="Arial"/>
                <w:sz w:val="24"/>
              </w:rPr>
            </w:pPr>
            <w:r>
              <w:rPr>
                <w:rFonts w:ascii="Arial" w:hAnsi="Arial" w:cs="Arial"/>
                <w:noProof/>
                <w:sz w:val="24"/>
              </w:rPr>
              <w:drawing>
                <wp:inline distT="0" distB="0" distL="0" distR="0" wp14:anchorId="718B1DA9" wp14:editId="61AFB1EB">
                  <wp:extent cx="965200" cy="311039"/>
                  <wp:effectExtent l="0" t="0" r="635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SYS logo without-blur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648" cy="325685"/>
                          </a:xfrm>
                          <a:prstGeom prst="rect">
                            <a:avLst/>
                          </a:prstGeom>
                        </pic:spPr>
                      </pic:pic>
                    </a:graphicData>
                  </a:graphic>
                </wp:inline>
              </w:drawing>
            </w:r>
          </w:p>
        </w:tc>
        <w:tc>
          <w:tcPr>
            <w:tcW w:w="1743" w:type="dxa"/>
            <w:vAlign w:val="center"/>
          </w:tcPr>
          <w:p w14:paraId="558647A7" w14:textId="18704F9B" w:rsidR="00B271CE" w:rsidRDefault="00B271CE" w:rsidP="00B271CE">
            <w:pPr>
              <w:jc w:val="center"/>
              <w:rPr>
                <w:rFonts w:ascii="Arial" w:hAnsi="Arial" w:cs="Arial"/>
                <w:sz w:val="24"/>
              </w:rPr>
            </w:pPr>
            <w:r>
              <w:rPr>
                <w:rFonts w:ascii="Arial" w:hAnsi="Arial" w:cs="Arial"/>
                <w:noProof/>
                <w:sz w:val="24"/>
              </w:rPr>
              <w:drawing>
                <wp:inline distT="0" distB="0" distL="0" distR="0" wp14:anchorId="27AABA7D" wp14:editId="03BA31E8">
                  <wp:extent cx="1079500" cy="262707"/>
                  <wp:effectExtent l="0" t="0" r="6350" b="444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ales_colour_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77" cy="275916"/>
                          </a:xfrm>
                          <a:prstGeom prst="rect">
                            <a:avLst/>
                          </a:prstGeom>
                        </pic:spPr>
                      </pic:pic>
                    </a:graphicData>
                  </a:graphic>
                </wp:inline>
              </w:drawing>
            </w:r>
          </w:p>
        </w:tc>
        <w:tc>
          <w:tcPr>
            <w:tcW w:w="1743" w:type="dxa"/>
            <w:vAlign w:val="center"/>
          </w:tcPr>
          <w:p w14:paraId="1B77A537" w14:textId="77F14958" w:rsidR="00B271CE" w:rsidRDefault="00B271CE" w:rsidP="00B271CE">
            <w:pPr>
              <w:jc w:val="center"/>
              <w:rPr>
                <w:rFonts w:ascii="Arial" w:hAnsi="Arial" w:cs="Arial"/>
                <w:sz w:val="24"/>
              </w:rPr>
            </w:pPr>
            <w:r>
              <w:rPr>
                <w:rFonts w:ascii="Arial" w:hAnsi="Arial" w:cs="Arial"/>
                <w:noProof/>
                <w:sz w:val="24"/>
              </w:rPr>
              <w:drawing>
                <wp:inline distT="0" distB="0" distL="0" distR="0" wp14:anchorId="7E97BFBC" wp14:editId="585F1529">
                  <wp:extent cx="692150" cy="362542"/>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at t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992" cy="373459"/>
                          </a:xfrm>
                          <a:prstGeom prst="rect">
                            <a:avLst/>
                          </a:prstGeom>
                        </pic:spPr>
                      </pic:pic>
                    </a:graphicData>
                  </a:graphic>
                </wp:inline>
              </w:drawing>
            </w:r>
          </w:p>
        </w:tc>
        <w:tc>
          <w:tcPr>
            <w:tcW w:w="1743" w:type="dxa"/>
            <w:vAlign w:val="center"/>
          </w:tcPr>
          <w:p w14:paraId="5809F6C3" w14:textId="03E8B598" w:rsidR="00B271CE" w:rsidRDefault="00B271CE" w:rsidP="00B271CE">
            <w:pPr>
              <w:jc w:val="center"/>
              <w:rPr>
                <w:rFonts w:ascii="Arial" w:hAnsi="Arial" w:cs="Arial"/>
                <w:sz w:val="24"/>
              </w:rPr>
            </w:pPr>
            <w:r>
              <w:rPr>
                <w:rFonts w:ascii="Arial" w:hAnsi="Arial" w:cs="Arial"/>
                <w:noProof/>
                <w:sz w:val="24"/>
              </w:rPr>
              <w:drawing>
                <wp:inline distT="0" distB="0" distL="0" distR="0" wp14:anchorId="118B29DD" wp14:editId="6ECF10C6">
                  <wp:extent cx="1119606" cy="229235"/>
                  <wp:effectExtent l="0" t="0" r="4445"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telsa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2644" cy="244189"/>
                          </a:xfrm>
                          <a:prstGeom prst="rect">
                            <a:avLst/>
                          </a:prstGeom>
                        </pic:spPr>
                      </pic:pic>
                    </a:graphicData>
                  </a:graphic>
                </wp:inline>
              </w:drawing>
            </w:r>
          </w:p>
        </w:tc>
      </w:tr>
    </w:tbl>
    <w:p w14:paraId="70A1CD31" w14:textId="77777777" w:rsidR="00B271CE" w:rsidRDefault="00B271CE" w:rsidP="00B271CE">
      <w:pPr>
        <w:spacing w:after="120"/>
        <w:jc w:val="both"/>
        <w:rPr>
          <w:rFonts w:ascii="Arial" w:hAnsi="Arial" w:cs="Arial"/>
          <w:sz w:val="24"/>
        </w:rPr>
      </w:pPr>
    </w:p>
    <w:p w14:paraId="0831F539" w14:textId="77777777" w:rsidR="001670DE" w:rsidRDefault="00B271CE">
      <w:pPr>
        <w:jc w:val="both"/>
        <w:rPr>
          <w:rFonts w:ascii="Arial" w:hAnsi="Arial" w:cs="Arial"/>
          <w:sz w:val="24"/>
        </w:rPr>
      </w:pPr>
      <w:r>
        <w:rPr>
          <w:rFonts w:ascii="Arial" w:hAnsi="Arial" w:cs="Arial"/>
          <w:sz w:val="24"/>
        </w:rPr>
        <w:t xml:space="preserve">For all sponsorship enquiries, please contact a member of the team at </w:t>
      </w:r>
      <w:hyperlink r:id="rId15" w:history="1">
        <w:r>
          <w:rPr>
            <w:rStyle w:val="Hyperlink"/>
            <w:rFonts w:ascii="Arial" w:hAnsi="Arial" w:cs="Arial"/>
            <w:sz w:val="24"/>
          </w:rPr>
          <w:t>sponsorship@theiet.org</w:t>
        </w:r>
      </w:hyperlink>
    </w:p>
    <w:sectPr w:rsidR="00167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897"/>
    <w:multiLevelType w:val="hybridMultilevel"/>
    <w:tmpl w:val="70A87558"/>
    <w:lvl w:ilvl="0" w:tplc="46C0C9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41A4"/>
    <w:multiLevelType w:val="hybridMultilevel"/>
    <w:tmpl w:val="9D507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sDS0sDAwtzQxNjJW0lEKTi0uzszPAykwrAUAS3mWvSwAAAA="/>
  </w:docVars>
  <w:rsids>
    <w:rsidRoot w:val="001670DE"/>
    <w:rsid w:val="001670DE"/>
    <w:rsid w:val="00451480"/>
    <w:rsid w:val="00985DE1"/>
    <w:rsid w:val="009A0A09"/>
    <w:rsid w:val="00B271CE"/>
    <w:rsid w:val="00F42EF3"/>
    <w:rsid w:val="00F7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716F"/>
  <w15:chartTrackingRefBased/>
  <w15:docId w15:val="{646F1D8D-51C9-4839-A939-B2E16F00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ponsorship@theiet.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Industries by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Industries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Satellite Manufacturers &amp; Operators</c:v>
                </c:pt>
                <c:pt idx="1">
                  <c:v>Technology &amp; Equipment</c:v>
                </c:pt>
                <c:pt idx="2">
                  <c:v>Government and MoD</c:v>
                </c:pt>
                <c:pt idx="3">
                  <c:v>Others</c:v>
                </c:pt>
                <c:pt idx="4">
                  <c:v>Consultants</c:v>
                </c:pt>
                <c:pt idx="5">
                  <c:v>Academics and Institutes</c:v>
                </c:pt>
              </c:strCache>
            </c:strRef>
          </c:cat>
          <c:val>
            <c:numRef>
              <c:f>Sheet1!$B$2:$B$7</c:f>
              <c:numCache>
                <c:formatCode>General</c:formatCode>
                <c:ptCount val="6"/>
                <c:pt idx="0">
                  <c:v>40</c:v>
                </c:pt>
                <c:pt idx="1">
                  <c:v>28</c:v>
                </c:pt>
                <c:pt idx="2">
                  <c:v>17</c:v>
                </c:pt>
                <c:pt idx="3">
                  <c:v>6</c:v>
                </c:pt>
                <c:pt idx="4">
                  <c:v>6</c:v>
                </c:pt>
                <c:pt idx="5">
                  <c:v>3</c:v>
                </c:pt>
              </c:numCache>
            </c:numRef>
          </c:val>
          <c:extLst>
            <c:ext xmlns:c16="http://schemas.microsoft.com/office/drawing/2014/chart" uri="{C3380CC4-5D6E-409C-BE32-E72D297353CC}">
              <c16:uniqueId val="{00000000-90BB-4D5F-B937-7B95238D88E3}"/>
            </c:ext>
          </c:extLst>
        </c:ser>
        <c:dLbls>
          <c:showLegendKey val="0"/>
          <c:showVal val="0"/>
          <c:showCatName val="0"/>
          <c:showSerName val="0"/>
          <c:showPercent val="0"/>
          <c:showBubbleSize val="0"/>
        </c:dLbls>
        <c:gapWidth val="182"/>
        <c:axId val="155413104"/>
        <c:axId val="155413760"/>
      </c:barChart>
      <c:catAx>
        <c:axId val="15541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5413760"/>
        <c:crosses val="autoZero"/>
        <c:auto val="1"/>
        <c:lblAlgn val="ctr"/>
        <c:lblOffset val="100"/>
        <c:noMultiLvlLbl val="0"/>
      </c:catAx>
      <c:valAx>
        <c:axId val="155413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413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Job Function by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Senior Management</c:v>
                </c:pt>
                <c:pt idx="1">
                  <c:v>Systems Engineering</c:v>
                </c:pt>
                <c:pt idx="2">
                  <c:v>Space Strategy</c:v>
                </c:pt>
                <c:pt idx="3">
                  <c:v>Project Management</c:v>
                </c:pt>
                <c:pt idx="4">
                  <c:v>Sales/Business Development</c:v>
                </c:pt>
                <c:pt idx="5">
                  <c:v>Technology and Innovation</c:v>
                </c:pt>
                <c:pt idx="6">
                  <c:v>Transmission and Broadcasting</c:v>
                </c:pt>
                <c:pt idx="7">
                  <c:v>Academics and Consulting</c:v>
                </c:pt>
              </c:strCache>
            </c:strRef>
          </c:cat>
          <c:val>
            <c:numRef>
              <c:f>Sheet1!$B$2:$B$9</c:f>
              <c:numCache>
                <c:formatCode>General</c:formatCode>
                <c:ptCount val="8"/>
                <c:pt idx="0">
                  <c:v>20</c:v>
                </c:pt>
                <c:pt idx="1">
                  <c:v>20</c:v>
                </c:pt>
                <c:pt idx="2">
                  <c:v>13</c:v>
                </c:pt>
                <c:pt idx="3">
                  <c:v>11</c:v>
                </c:pt>
                <c:pt idx="4">
                  <c:v>11</c:v>
                </c:pt>
                <c:pt idx="5">
                  <c:v>11</c:v>
                </c:pt>
                <c:pt idx="6">
                  <c:v>9</c:v>
                </c:pt>
                <c:pt idx="7">
                  <c:v>5</c:v>
                </c:pt>
              </c:numCache>
            </c:numRef>
          </c:val>
          <c:extLst>
            <c:ext xmlns:c16="http://schemas.microsoft.com/office/drawing/2014/chart" uri="{C3380CC4-5D6E-409C-BE32-E72D297353CC}">
              <c16:uniqueId val="{00000000-FF8B-4488-AE8C-CBCE54B94A26}"/>
            </c:ext>
          </c:extLst>
        </c:ser>
        <c:dLbls>
          <c:showLegendKey val="0"/>
          <c:showVal val="0"/>
          <c:showCatName val="0"/>
          <c:showSerName val="0"/>
          <c:showPercent val="0"/>
          <c:showBubbleSize val="0"/>
        </c:dLbls>
        <c:gapWidth val="182"/>
        <c:axId val="521937800"/>
        <c:axId val="521941736"/>
      </c:barChart>
      <c:catAx>
        <c:axId val="521937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941736"/>
        <c:crosses val="autoZero"/>
        <c:auto val="1"/>
        <c:lblAlgn val="ctr"/>
        <c:lblOffset val="100"/>
        <c:noMultiLvlLbl val="0"/>
      </c:catAx>
      <c:valAx>
        <c:axId val="521941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937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D68E-921E-4337-9653-A83BB712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Mohsin,Aliza</dc:creator>
  <cp:keywords/>
  <dc:description/>
  <cp:lastModifiedBy>Matthews,Paul</cp:lastModifiedBy>
  <cp:revision>2</cp:revision>
  <dcterms:created xsi:type="dcterms:W3CDTF">2020-12-07T10:06:00Z</dcterms:created>
  <dcterms:modified xsi:type="dcterms:W3CDTF">2020-12-07T10:06:00Z</dcterms:modified>
</cp:coreProperties>
</file>